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cs="Arial"/>
          <w:b/>
          <w:bCs/>
          <w:smallCaps/>
          <w:color w:val="000000"/>
          <w:sz w:val="28"/>
          <w:szCs w:val="28"/>
        </w:rPr>
      </w:pPr>
      <w:r>
        <w:rPr>
          <w:rFonts w:cs="Arial"/>
          <w:b/>
          <w:bCs/>
          <w:smallCaps/>
          <w:color w:val="000000"/>
          <w:sz w:val="28"/>
          <w:szCs w:val="28"/>
        </w:rPr>
      </w:r>
    </w:p>
    <w:p>
      <w:pPr>
        <w:pStyle w:val="Normal"/>
        <w:jc w:val="center"/>
        <w:rPr>
          <w:rFonts w:ascii="Verdana" w:hAnsi="Verdana"/>
        </w:rPr>
      </w:pPr>
      <w:r>
        <w:rPr>
          <w:rFonts w:cs="Arial" w:ascii="Verdana" w:hAnsi="Verdana"/>
          <w:b/>
          <w:bCs/>
          <w:smallCaps/>
          <w:color w:val="000000"/>
          <w:sz w:val="28"/>
          <w:szCs w:val="28"/>
        </w:rPr>
        <w:t xml:space="preserve">EDITAL </w:t>
      </w:r>
    </w:p>
    <w:p>
      <w:pPr>
        <w:pStyle w:val="Normal"/>
        <w:jc w:val="center"/>
        <w:rPr>
          <w:rFonts w:ascii="Verdana" w:hAnsi="Verdana"/>
        </w:rPr>
      </w:pPr>
      <w:r>
        <w:rPr>
          <w:rFonts w:cs="Arial" w:ascii="Verdana" w:hAnsi="Verdana"/>
          <w:b/>
          <w:bCs/>
          <w:smallCaps/>
          <w:color w:val="000000"/>
          <w:sz w:val="28"/>
          <w:szCs w:val="28"/>
        </w:rPr>
        <w:t>PREGÃO ELETRÔNICO Nº 013/2025</w:t>
      </w:r>
    </w:p>
    <w:p>
      <w:pPr>
        <w:pStyle w:val="Normal"/>
        <w:jc w:val="center"/>
        <w:rPr>
          <w:rFonts w:ascii="Verdana" w:hAnsi="Verdana"/>
        </w:rPr>
      </w:pPr>
      <w:r>
        <w:rPr>
          <w:rFonts w:cs="Arial" w:ascii="Verdana" w:hAnsi="Verdana"/>
          <w:b/>
          <w:bCs/>
          <w:smallCaps/>
          <w:color w:val="000000"/>
          <w:sz w:val="28"/>
          <w:szCs w:val="28"/>
        </w:rPr>
        <w:t>(Processo Administrativo n° 01824/2025 de 11/03/2025)</w:t>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ascii="Verdana" w:hAnsi="Verdana"/>
          <w:sz w:val="20"/>
          <w:szCs w:val="20"/>
        </w:rPr>
      </w:r>
    </w:p>
    <w:p>
      <w:pPr>
        <w:pStyle w:val="BodyText"/>
        <w:spacing w:before="57" w:after="57"/>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before="57" w:after="57"/>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16/05</w:t>
      </w:r>
      <w:r>
        <w:rPr>
          <w:rFonts w:cs="Arial" w:ascii="Verdana" w:hAnsi="Verdana"/>
          <w:b/>
          <w:bCs/>
          <w:color w:val="000000"/>
          <w:sz w:val="20"/>
          <w:szCs w:val="20"/>
        </w:rPr>
        <w:t>/2025.</w:t>
      </w:r>
    </w:p>
    <w:p>
      <w:pPr>
        <w:pStyle w:val="Normal"/>
        <w:spacing w:before="57" w:after="57"/>
        <w:rPr>
          <w:rFonts w:ascii="Verdana" w:hAnsi="Verdana"/>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rPr>
        <w:t>DO OBJETO</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2" w:name="_Hlk148958481"/>
      <w:r>
        <w:rPr>
          <w:rFonts w:eastAsia="Batang;바탕" w:cs="Arial" w:ascii="Verdana" w:hAnsi="Verdana"/>
          <w:iCs/>
          <w:sz w:val="20"/>
          <w:szCs w:val="20"/>
        </w:rPr>
        <w:t xml:space="preserve">aquisição </w:t>
      </w:r>
      <w:r>
        <w:rPr>
          <w:rFonts w:ascii="Verdana" w:hAnsi="Verdana"/>
          <w:iCs/>
          <w:sz w:val="20"/>
        </w:rPr>
        <w:t>de reagentes laboratoriais compatíveis com o equipamento ANALISADOR DE ÍONS E ELETRÓLITOS ST 200 AQUA, para atender as necessidades do Laboratório Público Municipal da Secretaria Municipal de Saúde</w:t>
      </w:r>
      <w:bookmarkEnd w:id="1"/>
      <w:bookmarkEnd w:id="2"/>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before="57" w:after="57"/>
        <w:jc w:val="both"/>
        <w:rPr>
          <w:rFonts w:ascii="Verdana" w:hAnsi="Verdana"/>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before="57" w:after="57"/>
        <w:jc w:val="both"/>
        <w:rPr>
          <w:rFonts w:ascii="Verdana" w:hAnsi="Verdana"/>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rPr>
      </w:pPr>
      <w:r>
        <w:rPr>
          <w:rFonts w:ascii="Verdana" w:hAnsi="Verdana"/>
        </w:rPr>
      </w:r>
    </w:p>
    <w:p>
      <w:pPr>
        <w:pStyle w:val="Nivel01"/>
        <w:numPr>
          <w:ilvl w:val="0"/>
          <w:numId w:val="2"/>
        </w:numPr>
        <w:spacing w:before="113" w:after="113"/>
        <w:ind w:hanging="0" w:left="57" w:right="57"/>
        <w:rPr>
          <w:rFonts w:ascii="Verdana" w:hAnsi="Verdana"/>
        </w:rPr>
      </w:pPr>
      <w:r>
        <w:rPr>
          <w:rFonts w:cs="Arial" w:ascii="Verdana" w:hAnsi="Verdana"/>
        </w:rPr>
        <w:t xml:space="preserve">DO REGISTRO DE PREÇOS </w:t>
      </w:r>
    </w:p>
    <w:p>
      <w:pPr>
        <w:pStyle w:val="Normal"/>
        <w:spacing w:before="113" w:after="113"/>
        <w:ind w:hanging="0" w:left="57" w:right="57"/>
        <w:jc w:val="both"/>
        <w:rPr>
          <w:rFonts w:ascii="Verdana" w:hAnsi="Verdana"/>
        </w:rPr>
      </w:pPr>
      <w:r>
        <w:rPr>
          <w:rFonts w:cs="Arial" w:ascii="Verdana" w:hAnsi="Verdana"/>
          <w:color w:val="000000"/>
          <w:sz w:val="20"/>
          <w:szCs w:val="20"/>
        </w:rPr>
        <w:t>2.1 As regras referentes ao órgão gerenciador são as que constam da minuta de Ata de Registro de Preços.</w:t>
      </w:r>
    </w:p>
    <w:p>
      <w:pPr>
        <w:pStyle w:val="Normal"/>
        <w:spacing w:before="113" w:after="113"/>
        <w:ind w:hanging="0" w:left="57" w:right="57"/>
        <w:jc w:val="both"/>
        <w:rPr>
          <w:rFonts w:ascii="Verdana" w:hAnsi="Verdana"/>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rPr>
      </w:pPr>
      <w:r>
        <w:rPr>
          <w:rFonts w:ascii="Verdana" w:hAnsi="Verdana"/>
        </w:rPr>
      </w:r>
    </w:p>
    <w:p>
      <w:pPr>
        <w:pStyle w:val="Nivel01"/>
        <w:numPr>
          <w:ilvl w:val="0"/>
          <w:numId w:val="2"/>
        </w:numPr>
        <w:spacing w:before="57" w:after="57"/>
        <w:ind w:hanging="0" w:left="0"/>
        <w:rPr>
          <w:rFonts w:ascii="Verdana" w:hAnsi="Verdana"/>
        </w:rPr>
      </w:pPr>
      <w:r>
        <w:rPr>
          <w:rFonts w:cs="Arial" w:ascii="Verdana" w:hAnsi="Verdana"/>
        </w:rPr>
        <w:t>DO CREDENCIAMENTO</w:t>
      </w:r>
    </w:p>
    <w:p>
      <w:pPr>
        <w:pStyle w:val="Default"/>
        <w:spacing w:before="113" w:after="113"/>
        <w:ind w:hanging="0"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before="113" w:after="113"/>
        <w:ind w:hanging="0" w:right="113"/>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before="113" w:after="113"/>
        <w:ind w:hanging="0" w:right="113"/>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pPr>
        <w:pStyle w:val="Default"/>
        <w:spacing w:before="113" w:after="113"/>
        <w:ind w:hanging="0" w:right="113"/>
        <w:jc w:val="both"/>
        <w:rPr>
          <w:rFonts w:ascii="Verdana" w:hAnsi="Verdana"/>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before="113" w:after="113"/>
        <w:ind w:hanging="0" w:right="113"/>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before="113" w:after="113"/>
        <w:ind w:hanging="0" w:right="113"/>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before="113" w:after="113"/>
        <w:ind w:hanging="0" w:right="113"/>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DA PARTICIPAÇÃO NO PREGÃO.</w:t>
      </w:r>
    </w:p>
    <w:p>
      <w:pPr>
        <w:pStyle w:val="Normal"/>
        <w:spacing w:before="57" w:after="57"/>
        <w:jc w:val="both"/>
        <w:rPr>
          <w:rFonts w:ascii="Verdana" w:hAnsi="Verdana"/>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before="57" w:after="57"/>
        <w:jc w:val="both"/>
        <w:rPr/>
      </w:pPr>
      <w:r>
        <w:rPr>
          <w:rStyle w:val="InternetLink"/>
          <w:rFonts w:cs="Arial" w:ascii="Verdana" w:hAnsi="Verdana"/>
          <w:iCs/>
          <w:color w:val="000000"/>
          <w:sz w:val="20"/>
          <w:szCs w:val="20"/>
          <w:u w:val="none"/>
        </w:rPr>
        <w:t>4.2.1 Poderão participar da licitação as empresas interessadas,</w:t>
      </w:r>
      <w:r>
        <w:rPr>
          <w:rStyle w:val="InternetLink"/>
          <w:rFonts w:cs="Arial" w:ascii="Verdana" w:hAnsi="Verdana"/>
          <w:i/>
          <w:iCs/>
          <w:color w:val="000000"/>
          <w:sz w:val="20"/>
          <w:szCs w:val="20"/>
          <w:u w:val="none"/>
        </w:rPr>
        <w:t xml:space="preserve"> </w:t>
      </w:r>
      <w:r>
        <w:rPr>
          <w:rStyle w:val="InternetLink"/>
          <w:rFonts w:cs="Arial" w:ascii="Verdana" w:hAnsi="Verdana"/>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i/>
            <w:iCs/>
            <w:sz w:val="20"/>
            <w:szCs w:val="20"/>
            <w:u w:val="none"/>
          </w:rPr>
          <w:t>www.portaldecompraspublicas.com.br</w:t>
        </w:r>
      </w:hyperlink>
      <w:r>
        <w:rPr>
          <w:rStyle w:val="InternetLink"/>
          <w:rFonts w:cs="Arial" w:ascii="Verdana" w:hAnsi="Verdana"/>
          <w:iCs/>
          <w:sz w:val="20"/>
          <w:szCs w:val="20"/>
          <w:u w:val="none"/>
        </w:rPr>
        <w:t>.</w:t>
      </w:r>
    </w:p>
    <w:p>
      <w:pPr>
        <w:pStyle w:val="Normal"/>
        <w:snapToGrid w:val="false"/>
        <w:spacing w:before="57" w:after="57"/>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57" w:after="57"/>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57" w:after="57"/>
        <w:jc w:val="both"/>
        <w:rPr>
          <w:rFonts w:ascii="Verdana" w:hAnsi="Verdana"/>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57" w:after="57"/>
        <w:jc w:val="both"/>
        <w:rPr>
          <w:rFonts w:ascii="Verdana" w:hAnsi="Verdana"/>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57" w:after="57"/>
        <w:jc w:val="both"/>
        <w:rPr>
          <w:rFonts w:ascii="Verdana" w:hAnsi="Verdana"/>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57" w:after="57"/>
        <w:jc w:val="both"/>
        <w:rPr>
          <w:rFonts w:ascii="Verdana" w:hAnsi="Verdana"/>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57" w:after="57"/>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57" w:after="57"/>
        <w:jc w:val="both"/>
        <w:rPr>
          <w:rFonts w:ascii="Verdana" w:hAnsi="Verdana"/>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57" w:after="57"/>
        <w:jc w:val="both"/>
        <w:rPr>
          <w:rFonts w:ascii="Verdana" w:hAnsi="Verdana"/>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57" w:after="57"/>
        <w:jc w:val="both"/>
        <w:rPr>
          <w:rFonts w:ascii="Verdana" w:hAnsi="Verdana"/>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57" w:after="57"/>
        <w:jc w:val="both"/>
        <w:rPr>
          <w:rFonts w:ascii="Verdana" w:hAnsi="Verdana"/>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22"/>
        </w:numPr>
        <w:tabs>
          <w:tab w:val="clear" w:pos="708"/>
          <w:tab w:val="left" w:pos="450" w:leader="none"/>
          <w:tab w:val="left" w:pos="1450" w:leader="none"/>
        </w:tabs>
        <w:spacing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3"/>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4"/>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5"/>
        </w:numPr>
        <w:tabs>
          <w:tab w:val="clear" w:pos="708"/>
          <w:tab w:val="left" w:pos="450" w:leader="none"/>
        </w:tabs>
        <w:spacing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6"/>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7"/>
        </w:numPr>
        <w:tabs>
          <w:tab w:val="clear" w:pos="708"/>
          <w:tab w:val="left" w:pos="450" w:leader="none"/>
        </w:tabs>
        <w:spacing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8"/>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9"/>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before="113" w:after="113"/>
        <w:ind w:hanging="0" w:left="0" w:right="113"/>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113" w:after="113"/>
        <w:ind w:hanging="1638" w:left="1638" w:right="113"/>
        <w:jc w:val="both"/>
        <w:rPr>
          <w:rFonts w:ascii="Verdana" w:hAnsi="Verdana"/>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113" w:after="113"/>
        <w:ind w:hanging="0" w:right="113"/>
        <w:jc w:val="both"/>
        <w:rPr>
          <w:rFonts w:ascii="Verdana" w:hAnsi="Verdana"/>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113" w:after="0"/>
        <w:ind w:hanging="6" w:left="0" w:right="113"/>
        <w:contextualSpacing/>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113" w:after="113"/>
        <w:ind w:hanging="0" w:left="0" w:right="113"/>
        <w:contextualSpacing/>
        <w:jc w:val="both"/>
        <w:rPr>
          <w:rFonts w:ascii="Verdana" w:hAnsi="Verdana"/>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hanging="0"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hanging="0"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jc w:val="both"/>
        <w:rPr>
          <w:rFonts w:ascii="Verdana" w:hAnsi="Verdana"/>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jc w:val="both"/>
        <w:rPr>
          <w:rFonts w:ascii="Verdana" w:hAnsi="Verdana"/>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hanging="0" w:left="0"/>
        <w:contextualSpacing w:val="false"/>
        <w:jc w:val="both"/>
        <w:rPr>
          <w:rFonts w:ascii="Verdana" w:hAnsi="Verdana"/>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57" w:after="57"/>
        <w:ind w:hanging="0" w:left="0"/>
        <w:contextualSpacing w:val="false"/>
        <w:jc w:val="both"/>
        <w:rPr>
          <w:rFonts w:ascii="Verdana" w:hAnsi="Verdana"/>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tabs>
          <w:tab w:val="clear" w:pos="567"/>
          <w:tab w:val="left" w:pos="517" w:leader="none"/>
        </w:tabs>
        <w:spacing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57" w:after="57"/>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346"/>
          <w:sz w:val="20"/>
          <w:u w:val="single"/>
          <w:szCs w:val="20"/>
          <w:rFonts w:cs="Arial" w:ascii="Verdana" w:hAnsi="Verdana"/>
          <w:color w:val="000080"/>
        </w:rPr>
        <w:instrText xml:space="preserve"> HYPERLINK "http://www.planalto.gov.br/ccivil_03/_ato2019-2022/2021/lei/L14133.htm" \l "art14"</w:instrText>
      </w:r>
      <w:r>
        <w:rPr>
          <w:rStyle w:val="ListLabel346"/>
          <w:sz w:val="20"/>
          <w:u w:val="single"/>
          <w:szCs w:val="20"/>
          <w:rFonts w:cs="Arial" w:ascii="Verdana" w:hAnsi="Verdana"/>
          <w:color w:val="000080"/>
        </w:rPr>
        <w:fldChar w:fldCharType="separate"/>
      </w:r>
      <w:r>
        <w:rPr>
          <w:rStyle w:val="ListLabel346"/>
          <w:rFonts w:cs="Arial" w:ascii="Verdana" w:hAnsi="Verdana"/>
          <w:color w:val="000080"/>
          <w:sz w:val="20"/>
          <w:szCs w:val="20"/>
          <w:u w:val="single"/>
        </w:rPr>
        <w:t>art. 14 da Lei nº 14.133/2021</w:t>
      </w:r>
      <w:r>
        <w:rPr>
          <w:rStyle w:val="ListLabel346"/>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346"/>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346"/>
          <w:sz w:val="20"/>
          <w:u w:val="single"/>
          <w:szCs w:val="20"/>
          <w:rFonts w:cs="Arial" w:ascii="Verdana" w:hAnsi="Verdana"/>
          <w:color w:val="000080"/>
        </w:rPr>
        <w:fldChar w:fldCharType="separate"/>
      </w:r>
      <w:r>
        <w:rPr>
          <w:rStyle w:val="ListLabel346"/>
          <w:rFonts w:cs="Arial" w:ascii="Verdana" w:hAnsi="Verdana"/>
          <w:color w:val="000080"/>
          <w:sz w:val="20"/>
          <w:szCs w:val="20"/>
          <w:u w:val="single"/>
        </w:rPr>
        <w:t>artigo 29 a 35 da IN SEGES nº 73, de 30 de setembro de 2022</w:t>
      </w:r>
      <w:r>
        <w:rPr>
          <w:rStyle w:val="ListLabel346"/>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57" w:after="57"/>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hanging="0" w:left="0"/>
        <w:contextualSpacing w:val="false"/>
        <w:jc w:val="both"/>
        <w:rPr>
          <w:rFonts w:ascii="Verdana" w:hAnsi="Verdana"/>
        </w:rPr>
      </w:pPr>
      <w:r>
        <w:rPr>
          <w:rFonts w:cs="Arial" w:ascii="Verdana" w:hAnsi="Verdana"/>
          <w:sz w:val="20"/>
          <w:szCs w:val="20"/>
          <w:lang w:eastAsia="ar-SA"/>
        </w:rPr>
        <w:t>a) SICAF;</w:t>
      </w:r>
    </w:p>
    <w:p>
      <w:pPr>
        <w:pStyle w:val="ListParagraph"/>
        <w:spacing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347"/>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347"/>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hanging="0"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48"/>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347"/>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hanging="0" w:left="0"/>
        <w:contextualSpacing w:val="false"/>
        <w:jc w:val="both"/>
        <w:rPr>
          <w:rFonts w:ascii="Verdana" w:hAnsi="Verdana"/>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hanging="0"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hanging="0"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hanging="0"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hanging="0"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349"/>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before="113" w:after="113"/>
        <w:jc w:val="both"/>
        <w:rPr>
          <w:rFonts w:ascii="Verdana" w:hAnsi="Verdana"/>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before="57" w:after="57"/>
        <w:jc w:val="both"/>
        <w:rPr>
          <w:rFonts w:ascii="Verdana" w:hAnsi="Verdana"/>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before="57" w:after="57"/>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before="57" w:after="57"/>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30"/>
        </w:numPr>
        <w:tabs>
          <w:tab w:val="clear" w:pos="708"/>
          <w:tab w:val="left" w:pos="850" w:leader="none"/>
        </w:tabs>
        <w:spacing w:before="57" w:after="57"/>
        <w:ind w:hanging="0" w:left="0"/>
        <w:contextualSpacing w:val="false"/>
        <w:jc w:val="both"/>
        <w:rPr>
          <w:rFonts w:ascii="Verdana" w:hAnsi="Verdana"/>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31"/>
        </w:numPr>
        <w:tabs>
          <w:tab w:val="clear" w:pos="708"/>
          <w:tab w:val="left" w:pos="517" w:leader="none"/>
        </w:tabs>
        <w:spacing w:before="57" w:after="57"/>
        <w:ind w:hanging="0" w:left="0"/>
        <w:contextualSpacing w:val="false"/>
        <w:jc w:val="both"/>
        <w:rPr>
          <w:rFonts w:ascii="Verdana" w:hAnsi="Verdana"/>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32"/>
        </w:numPr>
        <w:tabs>
          <w:tab w:val="clear" w:pos="708"/>
          <w:tab w:val="left" w:pos="517" w:leader="none"/>
        </w:tabs>
        <w:spacing w:before="57" w:after="57"/>
        <w:ind w:hanging="0" w:left="0"/>
        <w:contextualSpacing w:val="false"/>
        <w:jc w:val="both"/>
        <w:rPr>
          <w:rFonts w:ascii="Verdana" w:hAnsi="Verdana"/>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3"/>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4"/>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5"/>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Constatado o atendimento às exigências de habilitação fixadas no Edital, o licitante será declarado vencedor.</w:t>
      </w:r>
    </w:p>
    <w:p>
      <w:pPr>
        <w:pStyle w:val="ListParagraph"/>
        <w:numPr>
          <w:ilvl w:val="1"/>
          <w:numId w:val="36"/>
        </w:numPr>
        <w:tabs>
          <w:tab w:val="clear" w:pos="708"/>
          <w:tab w:val="left" w:pos="517" w:leader="none"/>
        </w:tabs>
        <w:spacing w:before="57" w:after="57"/>
        <w:ind w:hanging="0" w:left="0"/>
        <w:contextualSpacing w:val="false"/>
        <w:jc w:val="both"/>
        <w:rPr>
          <w:rFonts w:ascii="Verdana" w:hAnsi="Verdana"/>
          <w:b/>
          <w:bCs/>
          <w:sz w:val="20"/>
          <w:szCs w:val="20"/>
        </w:rPr>
      </w:pPr>
      <w:r>
        <w:rPr>
          <w:rFonts w:cs="Arial" w:ascii="Verdana" w:hAnsi="Verdana"/>
          <w:b/>
          <w:bCs/>
          <w:color w:val="000000"/>
          <w:sz w:val="20"/>
          <w:szCs w:val="20"/>
        </w:rPr>
        <w:t>A CONTRATADA DEVERÁ APRESENTAR CURSO TÉCNICO EMITIDO PELO FABRICANTE, DISTRIBUIDORA E DETENTOR DO REGISTRO NA ANVISA dos produtos da linha do equipamento ANALISADOR DE ÍONS E ELETRÓLITOS ST200 AQUA;</w:t>
      </w:r>
    </w:p>
    <w:p>
      <w:pPr>
        <w:pStyle w:val="ListParagraph"/>
        <w:numPr>
          <w:ilvl w:val="1"/>
          <w:numId w:val="37"/>
        </w:numPr>
        <w:tabs>
          <w:tab w:val="clear" w:pos="708"/>
          <w:tab w:val="left" w:pos="517" w:leader="none"/>
        </w:tabs>
        <w:spacing w:before="57" w:after="57"/>
        <w:ind w:hanging="0" w:left="0"/>
        <w:contextualSpacing w:val="false"/>
        <w:jc w:val="both"/>
        <w:rPr>
          <w:rFonts w:ascii="Verdana" w:hAnsi="Verdana"/>
          <w:b/>
          <w:bCs/>
          <w:sz w:val="20"/>
          <w:szCs w:val="20"/>
        </w:rPr>
      </w:pPr>
      <w:r>
        <w:rPr>
          <w:rFonts w:cs="Arial" w:ascii="Verdana" w:hAnsi="Verdana"/>
          <w:b/>
          <w:bCs/>
          <w:color w:val="000000"/>
          <w:sz w:val="20"/>
          <w:szCs w:val="20"/>
        </w:rPr>
        <w:t>A CONTRATADA deverá realizar visita “em loco” no Laboratório Público Municipal com a presença de técnico (devidamente comprovado) para realizar treinamento ao Farmacêutico/bioquímico responsável do Laboratório Público Municipal assim que realizarem a primeira entrega dos kits reagentes.</w:t>
      </w:r>
    </w:p>
    <w:p>
      <w:pPr>
        <w:pStyle w:val="ListParagraph"/>
        <w:numPr>
          <w:ilvl w:val="1"/>
          <w:numId w:val="38"/>
        </w:numPr>
        <w:tabs>
          <w:tab w:val="clear" w:pos="708"/>
          <w:tab w:val="left" w:pos="517" w:leader="none"/>
        </w:tabs>
        <w:spacing w:before="57" w:after="57"/>
        <w:ind w:hanging="0" w:left="0"/>
        <w:contextualSpacing w:val="false"/>
        <w:jc w:val="both"/>
        <w:rPr>
          <w:rFonts w:ascii="Verdana" w:hAnsi="Verdana"/>
          <w:b/>
          <w:bCs/>
          <w:sz w:val="20"/>
          <w:szCs w:val="20"/>
        </w:rPr>
      </w:pPr>
      <w:r>
        <w:rPr>
          <w:rFonts w:cs="Arial" w:ascii="Verdana" w:hAnsi="Verdana"/>
          <w:b/>
          <w:bCs/>
          <w:color w:val="000000"/>
          <w:sz w:val="20"/>
          <w:szCs w:val="20"/>
        </w:rPr>
        <w:t>A CONTRATADA deverá apresentar declaração de revenda exclusiva autorizada pela fabricante do equipamento.</w:t>
      </w:r>
    </w:p>
    <w:p>
      <w:pPr>
        <w:pStyle w:val="ListParagraph"/>
        <w:tabs>
          <w:tab w:val="clear" w:pos="708"/>
          <w:tab w:val="left" w:pos="517" w:leader="none"/>
        </w:tabs>
        <w:spacing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57" w:after="57"/>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DOS RECURSOS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before="57" w:after="57"/>
        <w:rPr>
          <w:rFonts w:ascii="Verdana" w:hAnsi="Verdana" w:cs="Arial"/>
          <w:sz w:val="20"/>
          <w:szCs w:val="20"/>
        </w:rPr>
      </w:pPr>
      <w:r>
        <w:rPr>
          <w:rFonts w:cs="Arial"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113" w:after="113"/>
        <w:ind w:hanging="0" w:left="57" w:right="57"/>
        <w:rPr>
          <w:rFonts w:ascii="Verdana" w:hAnsi="Verdana"/>
        </w:rPr>
      </w:pPr>
      <w:r>
        <w:rPr>
          <w:rFonts w:cs="Arial" w:ascii="Verdana" w:hAnsi="Verdana"/>
          <w:color w:val="auto"/>
        </w:rPr>
        <w:t xml:space="preserve">DA GARANTIA DE EXECUÇÃO </w:t>
      </w:r>
    </w:p>
    <w:p>
      <w:pPr>
        <w:pStyle w:val="ListParagraph"/>
        <w:numPr>
          <w:ilvl w:val="1"/>
          <w:numId w:val="2"/>
        </w:numPr>
        <w:spacing w:before="113" w:after="113"/>
        <w:ind w:hanging="0" w:left="57" w:right="57"/>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113" w:after="113"/>
        <w:ind w:hanging="0" w:left="57" w:right="57"/>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113" w:after="113"/>
        <w:ind w:hanging="0" w:left="57" w:right="57"/>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113" w:after="113"/>
        <w:ind w:hanging="0"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57" w:after="57"/>
        <w:ind w:hanging="0" w:left="0"/>
        <w:contextualSpacing w:val="false"/>
        <w:jc w:val="both"/>
        <w:rPr>
          <w:rFonts w:ascii="Verdana" w:hAnsi="Verdana"/>
        </w:rPr>
      </w:pPr>
      <w:r>
        <w:rPr>
          <w:rFonts w:cs="Arial" w:ascii="Verdana" w:hAnsi="Verdana"/>
          <w:b/>
          <w:bCs/>
          <w:sz w:val="20"/>
          <w:szCs w:val="20"/>
        </w:rPr>
        <w:t>15 DA ATA DE REGISTRO DE PREÇOS</w:t>
      </w:r>
    </w:p>
    <w:p>
      <w:pPr>
        <w:pStyle w:val="ListParagraph"/>
        <w:tabs>
          <w:tab w:val="clear" w:pos="708"/>
          <w:tab w:val="left" w:pos="850" w:leader="none"/>
        </w:tabs>
        <w:spacing w:before="113" w:after="113"/>
        <w:ind w:hanging="0" w:left="57" w:right="57"/>
        <w:contextualSpacing w:val="false"/>
        <w:jc w:val="both"/>
        <w:rPr>
          <w:rFonts w:ascii="Verdana" w:hAnsi="Verdana"/>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113" w:after="113"/>
        <w:ind w:hanging="0" w:left="57" w:right="57"/>
        <w:contextualSpacing w:val="false"/>
        <w:jc w:val="both"/>
        <w:rPr>
          <w:rFonts w:ascii="Verdana" w:hAnsi="Verdana"/>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113" w:after="113"/>
        <w:ind w:hanging="0" w:left="57" w:right="57"/>
        <w:contextualSpacing w:val="false"/>
        <w:jc w:val="both"/>
        <w:rPr>
          <w:rFonts w:ascii="Verdana" w:hAnsi="Verdana"/>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113" w:after="113"/>
        <w:ind w:hanging="0" w:left="57" w:right="57"/>
        <w:contextualSpacing w:val="false"/>
        <w:jc w:val="both"/>
        <w:rPr>
          <w:rFonts w:ascii="Verdana" w:hAnsi="Verdana"/>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113" w:after="113"/>
        <w:ind w:hanging="0" w:left="57" w:right="57"/>
        <w:contextualSpacing w:val="false"/>
        <w:jc w:val="both"/>
        <w:rPr>
          <w:rFonts w:ascii="Verdana" w:hAnsi="Verdana"/>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15.7 Será permitida a adesão (carona) por outros órgãos não participantes desde que com autorização do órgão licitante.</w:t>
      </w:r>
    </w:p>
    <w:p>
      <w:pPr>
        <w:pStyle w:val="ListParagraph"/>
        <w:tabs>
          <w:tab w:val="clear" w:pos="708"/>
          <w:tab w:val="left" w:pos="850" w:leader="none"/>
        </w:tabs>
        <w:spacing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before="57" w:after="57"/>
        <w:rPr>
          <w:rFonts w:ascii="Verdana" w:hAnsi="Verdana"/>
        </w:rPr>
      </w:pPr>
      <w:r>
        <w:rPr>
          <w:rFonts w:cs="Arial" w:ascii="Verdana" w:hAnsi="Verdana"/>
        </w:rPr>
        <w:t>16. DO REAJUSTAMENTO EM SENTIDO GERAL</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17. DA ACEITAÇÃO DO OBJETO E DA FISCALIZAÇÃO</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lang w:eastAsia="en-US"/>
        </w:rPr>
        <w:t>18. DAS OBRIGAÇÕES DA CONTRATANTE E DA CONTRATADA</w:t>
      </w:r>
    </w:p>
    <w:p>
      <w:pPr>
        <w:pStyle w:val="ListParagraph"/>
        <w:spacing w:before="57" w:after="57"/>
        <w:ind w:hanging="0" w:left="0"/>
        <w:contextualSpacing w:val="false"/>
        <w:jc w:val="both"/>
        <w:rPr>
          <w:rFonts w:ascii="Verdana" w:hAnsi="Verdana"/>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before="57" w:after="57"/>
        <w:ind w:hanging="0" w:left="0"/>
        <w:contextualSpacing w:val="false"/>
        <w:jc w:val="both"/>
        <w:rPr>
          <w:rFonts w:ascii="Verdana" w:hAnsi="Verdana"/>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20. DAS SANÇÕES ADMINISTRATIVAS.</w:t>
      </w:r>
    </w:p>
    <w:p>
      <w:pPr>
        <w:pStyle w:val="ListParagraph"/>
        <w:spacing w:before="57" w:after="57"/>
        <w:ind w:hanging="0" w:left="0"/>
        <w:contextualSpacing w:val="false"/>
        <w:jc w:val="both"/>
        <w:rPr>
          <w:rFonts w:ascii="Verdana" w:hAnsi="Verdana"/>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rPr>
      </w:pPr>
      <w:r>
        <w:rPr>
          <w:rFonts w:ascii="Verdana" w:hAnsi="Verdana"/>
          <w:sz w:val="20"/>
          <w:szCs w:val="20"/>
        </w:rPr>
        <w:t>20.1.6.1 Agir em conluio ou em desconformidade com a lei;</w:t>
      </w:r>
    </w:p>
    <w:p>
      <w:pPr>
        <w:pStyle w:val="Normal"/>
        <w:spacing w:before="57" w:after="57"/>
        <w:jc w:val="both"/>
        <w:rPr>
          <w:rFonts w:ascii="Verdana" w:hAnsi="Verdana"/>
        </w:rPr>
      </w:pPr>
      <w:r>
        <w:rPr>
          <w:rFonts w:ascii="Verdana" w:hAnsi="Verdana"/>
          <w:sz w:val="20"/>
          <w:szCs w:val="20"/>
        </w:rPr>
        <w:t>20.1.6.2 Induzir deliberadamente a erro no julgamento;</w:t>
      </w:r>
    </w:p>
    <w:p>
      <w:pPr>
        <w:pStyle w:val="Normal"/>
        <w:spacing w:before="57" w:after="57"/>
        <w:jc w:val="both"/>
        <w:rPr>
          <w:rFonts w:ascii="Verdana" w:hAnsi="Verdana"/>
        </w:rPr>
      </w:pPr>
      <w:r>
        <w:rPr>
          <w:rFonts w:ascii="Verdana" w:hAnsi="Verdana"/>
          <w:sz w:val="20"/>
          <w:szCs w:val="20"/>
        </w:rPr>
        <w:t>20.1.6.3 Apresentar amostra falsificada ou deteriorada;</w:t>
      </w:r>
    </w:p>
    <w:p>
      <w:pPr>
        <w:pStyle w:val="Normal"/>
        <w:spacing w:before="57" w:after="57"/>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350"/>
          <w:sz w:val="20"/>
          <w:szCs w:val="20"/>
          <w:rFonts w:ascii="Verdana" w:hAnsi="Verdana"/>
          <w:color w:val="000000"/>
        </w:rPr>
        <w:instrText xml:space="preserve"> HYPERLINK "https://www.planalto.gov.br/ccivil_03/_ato2011-2014/2013/lei/l12846.htm" \l "art5"</w:instrText>
      </w:r>
      <w:r>
        <w:rPr>
          <w:rStyle w:val="ListLabel350"/>
          <w:sz w:val="20"/>
          <w:szCs w:val="20"/>
          <w:rFonts w:ascii="Verdana" w:hAnsi="Verdana"/>
          <w:color w:val="000000"/>
        </w:rPr>
        <w:fldChar w:fldCharType="separate"/>
      </w:r>
      <w:r>
        <w:rPr>
          <w:rStyle w:val="ListLabel350"/>
          <w:rFonts w:ascii="Verdana" w:hAnsi="Verdana"/>
          <w:color w:val="000000"/>
          <w:sz w:val="20"/>
          <w:szCs w:val="20"/>
        </w:rPr>
        <w:t>art. 5º da Lei n.º 12.846, de 2013</w:t>
      </w:r>
      <w:r>
        <w:rPr>
          <w:rStyle w:val="ListLabel350"/>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rPr>
      </w:pPr>
      <w:r>
        <w:rPr>
          <w:rFonts w:ascii="Verdana" w:hAnsi="Verdana"/>
        </w:rPr>
        <w:t>20.2.1 advertência;</w:t>
      </w:r>
    </w:p>
    <w:p>
      <w:pPr>
        <w:pStyle w:val="Nivel2"/>
        <w:numPr>
          <w:ilvl w:val="0"/>
          <w:numId w:val="0"/>
        </w:numPr>
        <w:spacing w:lineRule="auto" w:line="240"/>
        <w:ind w:hanging="0" w:left="0"/>
        <w:rPr>
          <w:rFonts w:ascii="Verdana" w:hAnsi="Verdana"/>
        </w:rPr>
      </w:pPr>
      <w:r>
        <w:rPr>
          <w:rFonts w:ascii="Verdana" w:hAnsi="Verdana"/>
        </w:rPr>
        <w:t>20.2.2 multa;</w:t>
      </w:r>
    </w:p>
    <w:p>
      <w:pPr>
        <w:pStyle w:val="Nivel2"/>
        <w:numPr>
          <w:ilvl w:val="0"/>
          <w:numId w:val="0"/>
        </w:numPr>
        <w:spacing w:lineRule="auto" w:line="240"/>
        <w:ind w:hanging="0" w:left="0"/>
        <w:rPr>
          <w:rFonts w:ascii="Verdana" w:hAnsi="Verdana"/>
        </w:rPr>
      </w:pPr>
      <w:r>
        <w:rPr>
          <w:rFonts w:ascii="Verdana" w:hAnsi="Verdana"/>
        </w:rPr>
        <w:t>20.2.3 impedimento de licitar e contratar e</w:t>
      </w:r>
    </w:p>
    <w:p>
      <w:pPr>
        <w:pStyle w:val="Nivel2"/>
        <w:numPr>
          <w:ilvl w:val="0"/>
          <w:numId w:val="0"/>
        </w:numPr>
        <w:spacing w:lineRule="auto" w:line="24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ind w:hanging="0" w:left="0"/>
        <w:rPr>
          <w:rFonts w:ascii="Verdana" w:hAnsi="Verdana"/>
        </w:rPr>
      </w:pPr>
      <w:r>
        <w:rPr>
          <w:rFonts w:ascii="Verdana" w:hAnsi="Verdana"/>
        </w:rPr>
        <w:t>20.3.2 as peculiaridades do caso concreto</w:t>
      </w:r>
    </w:p>
    <w:p>
      <w:pPr>
        <w:pStyle w:val="Nivel2"/>
        <w:numPr>
          <w:ilvl w:val="0"/>
          <w:numId w:val="0"/>
        </w:numPr>
        <w:spacing w:lineRule="auto" w:line="24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351"/>
          <w:rFonts w:ascii="Verdana" w:hAnsi="Verdana"/>
          <w:color w:val="000000"/>
        </w:rPr>
        <w:instrText xml:space="preserve"> HYPERLINK "http://www.planalto.gov.br/ccivil_03/_ato2019-2022/2021/lei/L14133.htm" \l "art156%C2%A75"</w:instrText>
      </w:r>
      <w:r>
        <w:rPr>
          <w:rStyle w:val="ListLabel351"/>
          <w:rFonts w:ascii="Verdana" w:hAnsi="Verdana"/>
          <w:color w:val="000000"/>
        </w:rPr>
        <w:fldChar w:fldCharType="separate"/>
      </w:r>
      <w:r>
        <w:rPr>
          <w:rStyle w:val="ListLabel351"/>
          <w:rFonts w:ascii="Verdana" w:hAnsi="Verdana"/>
          <w:color w:val="000000"/>
        </w:rPr>
        <w:t>art. 156, §5º, da Lei n.º 14.133/2021</w:t>
      </w:r>
      <w:r>
        <w:rPr>
          <w:rStyle w:val="ListLabel351"/>
          <w:rFonts w:ascii="Verdana" w:hAnsi="Verdana"/>
          <w:color w:val="000000"/>
        </w:rPr>
        <w:fldChar w:fldCharType="end"/>
      </w:r>
      <w:r>
        <w:rPr>
          <w:rFonts w:ascii="Verdana" w:hAnsi="Verdana"/>
        </w:rPr>
        <w:t>.</w:t>
      </w:r>
    </w:p>
    <w:p>
      <w:pPr>
        <w:pStyle w:val="Nivel2"/>
        <w:numPr>
          <w:ilvl w:val="0"/>
          <w:numId w:val="0"/>
        </w:numPr>
        <w:spacing w:lineRule="auto" w:line="24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351"/>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57" w:after="57"/>
        <w:rPr>
          <w:rFonts w:ascii="Verdana" w:hAnsi="Verdana"/>
        </w:rPr>
      </w:pPr>
      <w:r>
        <w:rPr>
          <w:rFonts w:cs="Arial" w:ascii="Verdana" w:hAnsi="Verdana"/>
        </w:rPr>
        <w:t>21. DA IMPUGNAÇÃO AO EDITAL E DO PEDIDO DE ESCLARECIMENTO</w:t>
      </w:r>
    </w:p>
    <w:p>
      <w:pPr>
        <w:pStyle w:val="ListParagraph"/>
        <w:spacing w:before="57" w:after="57"/>
        <w:ind w:hanging="0" w:left="0"/>
        <w:contextualSpacing w:val="false"/>
        <w:jc w:val="both"/>
        <w:rPr>
          <w:rFonts w:ascii="Verdana" w:hAnsi="Verdana"/>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352"/>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57" w:after="57"/>
        <w:ind w:hanging="0" w:left="0"/>
        <w:contextualSpacing w:val="false"/>
        <w:jc w:val="both"/>
        <w:rPr>
          <w:rFonts w:ascii="Verdana" w:hAnsi="Verdana"/>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22. DAS DISPOSIÇÕES GERAIS</w:t>
      </w:r>
    </w:p>
    <w:p>
      <w:pPr>
        <w:pStyle w:val="Normal"/>
        <w:spacing w:before="57" w:after="57"/>
        <w:jc w:val="both"/>
        <w:rPr>
          <w:rFonts w:ascii="Verdana" w:hAnsi="Verdana"/>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348"/>
            <w:rFonts w:ascii="Verdana" w:hAnsi="Verdana"/>
            <w:color w:val="000080"/>
            <w:sz w:val="20"/>
            <w:szCs w:val="20"/>
            <w:u w:val="single"/>
          </w:rPr>
          <w:t>licitacao@</w:t>
        </w:r>
      </w:hyperlink>
      <w:hyperlink r:id="rId12">
        <w:r>
          <w:rPr>
            <w:rStyle w:val="ListLabel348"/>
            <w:rFonts w:ascii="Verdana" w:hAnsi="Verdana"/>
            <w:color w:val="000080"/>
            <w:sz w:val="20"/>
            <w:szCs w:val="20"/>
            <w:u w:val="single"/>
          </w:rPr>
          <w:t>saogabriel</w:t>
        </w:r>
      </w:hyperlink>
      <w:hyperlink r:id="rId13">
        <w:r>
          <w:rPr>
            <w:rStyle w:val="ListLabel348"/>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rPr>
      </w:pPr>
      <w:r>
        <w:rPr>
          <w:rFonts w:cs="Arial" w:ascii="Verdana" w:hAnsi="Verdana"/>
          <w:color w:val="000000"/>
          <w:sz w:val="20"/>
          <w:szCs w:val="20"/>
        </w:rPr>
        <w:t>22.12.1 ANEXO I – Termo de Referência;</w:t>
      </w:r>
    </w:p>
    <w:p>
      <w:pPr>
        <w:pStyle w:val="Normal"/>
        <w:spacing w:before="57" w:after="57"/>
        <w:jc w:val="both"/>
        <w:rPr>
          <w:rFonts w:ascii="Verdana" w:hAnsi="Verdana"/>
        </w:rPr>
      </w:pPr>
      <w:r>
        <w:rPr>
          <w:rFonts w:cs="Arial" w:ascii="Verdana" w:hAnsi="Verdana"/>
          <w:color w:val="000000"/>
          <w:sz w:val="20"/>
          <w:szCs w:val="20"/>
        </w:rPr>
        <w:t>22.12.2.1 ANEXO I-1 – Estudo Técnico Preliminar;</w:t>
      </w:r>
    </w:p>
    <w:p>
      <w:pPr>
        <w:pStyle w:val="Normal"/>
        <w:spacing w:before="57" w:after="57"/>
        <w:jc w:val="both"/>
        <w:rPr>
          <w:rFonts w:ascii="Verdana" w:hAnsi="Verdana"/>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before="57" w:after="57"/>
        <w:jc w:val="both"/>
        <w:rPr>
          <w:rFonts w:ascii="Verdana" w:hAnsi="Verdana"/>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hanging="0" w:left="360"/>
        <w:jc w:val="center"/>
        <w:outlineLvl w:val="0"/>
        <w:rPr>
          <w:rFonts w:ascii="Verdana" w:hAnsi="Verdana"/>
        </w:rPr>
      </w:pPr>
      <w:r>
        <w:rPr>
          <w:rFonts w:cs="Arial" w:ascii="Verdana" w:hAnsi="Verdana"/>
          <w:color w:val="000000"/>
          <w:sz w:val="20"/>
          <w:szCs w:val="20"/>
        </w:rPr>
        <w:t>São Gabriel da Palha/ES, 01 de abril de 2025.</w:t>
      </w:r>
    </w:p>
    <w:p>
      <w:pPr>
        <w:pStyle w:val="Normal"/>
        <w:tabs>
          <w:tab w:val="clear" w:pos="708"/>
          <w:tab w:val="left" w:pos="1440" w:leader="none"/>
        </w:tabs>
        <w:snapToGrid w:val="false"/>
        <w:spacing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rFonts w:ascii="Verdana" w:hAnsi="Verdana"/>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hanging="0" w:left="0" w:right="113"/>
        <w:jc w:val="center"/>
        <w:outlineLvl w:val="0"/>
        <w:rPr>
          <w:rFonts w:ascii="Verdana" w:hAnsi="Verdana"/>
        </w:rPr>
      </w:pPr>
      <w:r>
        <w:rPr>
          <w:rFonts w:eastAsia="" w:cs="Arial" w:ascii="Verdana" w:hAnsi="Verdana" w:eastAsiaTheme="majorEastAsia"/>
          <w:b/>
          <w:bCs/>
          <w:color w:val="000000"/>
          <w:sz w:val="20"/>
          <w:szCs w:val="20"/>
        </w:rPr>
        <w:t>Secretária Municipal de Saúde Interina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3221</TotalTime>
  <Application>LibreOffice/24.2.6.2$Windows_X86_64 LibreOffice_project/ef66aa7e36a1bb8e65bfbc63aba53045a14d0871</Application>
  <AppVersion>15.0000</AppVersion>
  <Pages>16</Pages>
  <Words>8369</Words>
  <Characters>47459</Characters>
  <CharactersWithSpaces>55437</CharactersWithSpaces>
  <Paragraphs>319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2025-04-01T16:47:25Z</cp:lastPrinted>
  <dcterms:modified xsi:type="dcterms:W3CDTF">2025-04-29T17:36:59Z</dcterms:modified>
  <cp:revision>171</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